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49" w:rsidRDefault="00585E49" w:rsidP="00585E49">
      <w:r>
        <w:rPr>
          <w:rFonts w:hint="eastAsia"/>
        </w:rPr>
        <w:t>平成</w:t>
      </w:r>
      <w:r>
        <w:rPr>
          <w:rFonts w:hint="eastAsia"/>
        </w:rPr>
        <w:t>28</w:t>
      </w:r>
      <w:r>
        <w:rPr>
          <w:rFonts w:hint="eastAsia"/>
        </w:rPr>
        <w:t>年度末財務書類</w:t>
      </w:r>
    </w:p>
    <w:p w:rsidR="00585E49" w:rsidRDefault="00585E49" w:rsidP="00585E49">
      <w:r>
        <w:t xml:space="preserve">      </w:t>
      </w:r>
    </w:p>
    <w:p w:rsidR="00585E49" w:rsidRDefault="00585E49" w:rsidP="00585E49">
      <w:r w:rsidRPr="00F73740">
        <w:rPr>
          <w:rFonts w:hint="eastAsia"/>
          <w:shd w:val="pct15" w:color="auto" w:fill="FFFFFF"/>
        </w:rPr>
        <w:t>地方公会計の統一的な基準による財務書類の概要</w:t>
      </w:r>
    </w:p>
    <w:p w:rsidR="00585E49" w:rsidRDefault="00585E49" w:rsidP="00585E49">
      <w:r>
        <w:t xml:space="preserve">  </w:t>
      </w:r>
    </w:p>
    <w:p w:rsidR="00585E49" w:rsidRDefault="00585E49" w:rsidP="00585E49">
      <w:r>
        <w:rPr>
          <w:rFonts w:hint="eastAsia"/>
        </w:rPr>
        <w:t xml:space="preserve"> </w:t>
      </w:r>
      <w:r>
        <w:rPr>
          <w:rFonts w:hint="eastAsia"/>
        </w:rPr>
        <w:t xml:space="preserve">　平成</w:t>
      </w:r>
      <w:r>
        <w:rPr>
          <w:rFonts w:hint="eastAsia"/>
        </w:rPr>
        <w:t>18</w:t>
      </w:r>
      <w:r>
        <w:rPr>
          <w:rFonts w:hint="eastAsia"/>
        </w:rPr>
        <w:t>年</w:t>
      </w:r>
      <w:r>
        <w:rPr>
          <w:rFonts w:hint="eastAsia"/>
        </w:rPr>
        <w:t>6</w:t>
      </w:r>
      <w:r>
        <w:rPr>
          <w:rFonts w:hint="eastAsia"/>
        </w:rPr>
        <w:t>月に成立した「行政改革推進法」を契機に、地方の資産・債務改革の一環として「新地方公会計制度の整備」が位置付けられました。これにより、地方公共団体は、平成</w:t>
      </w:r>
      <w:r>
        <w:rPr>
          <w:rFonts w:hint="eastAsia"/>
        </w:rPr>
        <w:t>19</w:t>
      </w:r>
      <w:r>
        <w:rPr>
          <w:rFonts w:hint="eastAsia"/>
        </w:rPr>
        <w:t>年</w:t>
      </w:r>
      <w:r>
        <w:rPr>
          <w:rFonts w:hint="eastAsia"/>
        </w:rPr>
        <w:t>10</w:t>
      </w:r>
      <w:r>
        <w:rPr>
          <w:rFonts w:hint="eastAsia"/>
        </w:rPr>
        <w:t>月に総務省の「新地方公会計制度実務研究会報告書」で示された複式簿記・発生主義の考え方を取り入れた「基準モデル」と決算統計を組み替えて作成する「総務省改訂モデル」を元に、財務書類を作成することになりました。</w:t>
      </w:r>
    </w:p>
    <w:p w:rsidR="00585E49" w:rsidRDefault="00585E49" w:rsidP="00585E49">
      <w:r>
        <w:rPr>
          <w:rFonts w:hint="eastAsia"/>
        </w:rPr>
        <w:t xml:space="preserve"> </w:t>
      </w:r>
      <w:r>
        <w:rPr>
          <w:rFonts w:hint="eastAsia"/>
        </w:rPr>
        <w:t xml:space="preserve">　統一的な基準は、これらの二つの作成方法を統一するために、総務省が平成</w:t>
      </w:r>
      <w:r>
        <w:rPr>
          <w:rFonts w:hint="eastAsia"/>
        </w:rPr>
        <w:t>27</w:t>
      </w:r>
      <w:r>
        <w:rPr>
          <w:rFonts w:hint="eastAsia"/>
        </w:rPr>
        <w:t>年</w:t>
      </w:r>
      <w:r>
        <w:rPr>
          <w:rFonts w:hint="eastAsia"/>
        </w:rPr>
        <w:t>1</w:t>
      </w:r>
      <w:r>
        <w:rPr>
          <w:rFonts w:hint="eastAsia"/>
        </w:rPr>
        <w:t>月に示した基準であり、固定資産台帳の整備と、複式簿記・発生主義の導入が必須なものとなりました。</w:t>
      </w:r>
    </w:p>
    <w:p w:rsidR="00585E49" w:rsidRDefault="00585E49" w:rsidP="00585E49">
      <w:r>
        <w:t xml:space="preserve"> </w:t>
      </w:r>
    </w:p>
    <w:p w:rsidR="00585E49" w:rsidRDefault="00585E49" w:rsidP="00585E49">
      <w:r>
        <w:t xml:space="preserve">  </w:t>
      </w:r>
    </w:p>
    <w:p w:rsidR="00585E49" w:rsidRDefault="00585E49" w:rsidP="00585E49">
      <w:r w:rsidRPr="00F73740">
        <w:rPr>
          <w:rFonts w:hint="eastAsia"/>
          <w:shd w:val="pct15" w:color="auto" w:fill="FFFFFF"/>
        </w:rPr>
        <w:t>作成基準日</w:t>
      </w:r>
    </w:p>
    <w:p w:rsidR="00585E49" w:rsidRDefault="00585E49" w:rsidP="00585E49">
      <w:r>
        <w:t xml:space="preserve">  </w:t>
      </w:r>
    </w:p>
    <w:p w:rsidR="00585E49" w:rsidRDefault="00585E49" w:rsidP="00585E49">
      <w:r>
        <w:rPr>
          <w:rFonts w:hint="eastAsia"/>
        </w:rPr>
        <w:t xml:space="preserve"> </w:t>
      </w:r>
      <w:r>
        <w:rPr>
          <w:rFonts w:hint="eastAsia"/>
        </w:rPr>
        <w:t>会計年度の最終日である平成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日です。</w:t>
      </w:r>
    </w:p>
    <w:p w:rsidR="00585E49" w:rsidRDefault="00585E49" w:rsidP="00585E49">
      <w:r>
        <w:rPr>
          <w:rFonts w:hint="eastAsia"/>
        </w:rPr>
        <w:t xml:space="preserve"> </w:t>
      </w:r>
      <w:r>
        <w:rPr>
          <w:rFonts w:hint="eastAsia"/>
        </w:rPr>
        <w:t>（出納整理期間（平成</w:t>
      </w:r>
      <w:r>
        <w:rPr>
          <w:rFonts w:hint="eastAsia"/>
        </w:rPr>
        <w:t>29</w:t>
      </w:r>
      <w:r>
        <w:rPr>
          <w:rFonts w:hint="eastAsia"/>
        </w:rPr>
        <w:t>年</w:t>
      </w:r>
      <w:r>
        <w:rPr>
          <w:rFonts w:hint="eastAsia"/>
        </w:rPr>
        <w:t>4</w:t>
      </w:r>
      <w:r>
        <w:rPr>
          <w:rFonts w:hint="eastAsia"/>
        </w:rPr>
        <w:t>月</w:t>
      </w:r>
      <w:r>
        <w:rPr>
          <w:rFonts w:hint="eastAsia"/>
        </w:rPr>
        <w:t>1</w:t>
      </w:r>
      <w:r>
        <w:rPr>
          <w:rFonts w:hint="eastAsia"/>
        </w:rPr>
        <w:t>日から</w:t>
      </w:r>
      <w:r>
        <w:rPr>
          <w:rFonts w:hint="eastAsia"/>
        </w:rPr>
        <w:t>5</w:t>
      </w:r>
      <w:r>
        <w:rPr>
          <w:rFonts w:hint="eastAsia"/>
        </w:rPr>
        <w:t>月</w:t>
      </w:r>
      <w:r>
        <w:rPr>
          <w:rFonts w:hint="eastAsia"/>
        </w:rPr>
        <w:t>31</w:t>
      </w:r>
      <w:r>
        <w:rPr>
          <w:rFonts w:hint="eastAsia"/>
        </w:rPr>
        <w:t>日まで）の入出金については、作成基準日までに終了したものとして処理をしています。</w:t>
      </w:r>
    </w:p>
    <w:p w:rsidR="00585E49" w:rsidRDefault="00585E49" w:rsidP="00585E49"/>
    <w:p w:rsidR="00585E49" w:rsidRDefault="00585E49" w:rsidP="00585E49">
      <w:r>
        <w:rPr>
          <w:rFonts w:hint="eastAsia"/>
        </w:rPr>
        <w:t xml:space="preserve"> </w:t>
      </w:r>
      <w:r>
        <w:rPr>
          <w:rFonts w:hint="eastAsia"/>
        </w:rPr>
        <w:t xml:space="preserve">　企業会計及び関係団体における未収金・未払金のうち、一般会計及び特別会計と出納整理期間に取引があったものは、作成基準日までに入出金されたものとして処理をしています。</w:t>
      </w:r>
      <w:r>
        <w:rPr>
          <w:rFonts w:hint="eastAsia"/>
        </w:rPr>
        <w:t xml:space="preserve"> </w:t>
      </w:r>
    </w:p>
    <w:p w:rsidR="00585E49" w:rsidRDefault="00585E49" w:rsidP="00585E49">
      <w:r>
        <w:t xml:space="preserve">  </w:t>
      </w:r>
    </w:p>
    <w:p w:rsidR="00585E49" w:rsidRDefault="00585E49" w:rsidP="00585E49">
      <w:r w:rsidRPr="00F73740">
        <w:rPr>
          <w:rFonts w:hint="eastAsia"/>
          <w:shd w:val="pct15" w:color="auto" w:fill="FFFFFF"/>
        </w:rPr>
        <w:t>財務書類とは</w:t>
      </w:r>
      <w:bookmarkStart w:id="0" w:name="_GoBack"/>
      <w:bookmarkEnd w:id="0"/>
    </w:p>
    <w:p w:rsidR="00585E49" w:rsidRDefault="00585E49" w:rsidP="00585E49">
      <w:r>
        <w:t xml:space="preserve">  </w:t>
      </w:r>
    </w:p>
    <w:p w:rsidR="00585E49" w:rsidRDefault="00585E49" w:rsidP="00585E49">
      <w:r>
        <w:rPr>
          <w:rFonts w:hint="eastAsia"/>
        </w:rPr>
        <w:t xml:space="preserve"> </w:t>
      </w:r>
      <w:r>
        <w:rPr>
          <w:rFonts w:hint="eastAsia"/>
        </w:rPr>
        <w:t>貸借対照表（バランスシート）</w:t>
      </w:r>
    </w:p>
    <w:p w:rsidR="00585E49" w:rsidRDefault="00585E49" w:rsidP="00585E49">
      <w:r>
        <w:rPr>
          <w:rFonts w:hint="eastAsia"/>
        </w:rPr>
        <w:t xml:space="preserve"> </w:t>
      </w:r>
      <w:r>
        <w:rPr>
          <w:rFonts w:hint="eastAsia"/>
        </w:rPr>
        <w:t xml:space="preserve">　貸借対照表は、行政資源となる所有資産と、負債等の財務状況を示したものです。</w:t>
      </w:r>
    </w:p>
    <w:p w:rsidR="00585E49" w:rsidRDefault="00585E49" w:rsidP="00585E49">
      <w:r>
        <w:rPr>
          <w:rFonts w:hint="eastAsia"/>
        </w:rPr>
        <w:t xml:space="preserve"> </w:t>
      </w:r>
      <w:r>
        <w:rPr>
          <w:rFonts w:hint="eastAsia"/>
        </w:rPr>
        <w:t xml:space="preserve">　資産は、行政活動に役立つ土地・建物・現金など、後世に引き継ぐ財産になります。一方、負債は、将来において支払いが発生する引当金や返済が必要な長期借入金などで、後世の負担となるものです。</w:t>
      </w:r>
    </w:p>
    <w:p w:rsidR="00585E49" w:rsidRDefault="00585E49" w:rsidP="00585E49"/>
    <w:p w:rsidR="00585E49" w:rsidRDefault="00585E49" w:rsidP="00585E49">
      <w:r>
        <w:rPr>
          <w:rFonts w:hint="eastAsia"/>
        </w:rPr>
        <w:t>行政コスト計算書</w:t>
      </w:r>
    </w:p>
    <w:p w:rsidR="00585E49" w:rsidRDefault="00585E49" w:rsidP="00585E49">
      <w:r>
        <w:rPr>
          <w:rFonts w:hint="eastAsia"/>
        </w:rPr>
        <w:t xml:space="preserve"> </w:t>
      </w:r>
      <w:r>
        <w:rPr>
          <w:rFonts w:hint="eastAsia"/>
        </w:rPr>
        <w:t xml:space="preserve">　行政コスト計算書は、</w:t>
      </w:r>
      <w:r>
        <w:rPr>
          <w:rFonts w:hint="eastAsia"/>
        </w:rPr>
        <w:t>1</w:t>
      </w:r>
      <w:r>
        <w:rPr>
          <w:rFonts w:hint="eastAsia"/>
        </w:rPr>
        <w:t>年間に行政サービスを提供するために発生したコスト（費用）の内訳を示したものです。</w:t>
      </w:r>
    </w:p>
    <w:p w:rsidR="00585E49" w:rsidRDefault="00585E49" w:rsidP="00585E49">
      <w:r>
        <w:rPr>
          <w:rFonts w:hint="eastAsia"/>
        </w:rPr>
        <w:t xml:space="preserve"> </w:t>
      </w:r>
      <w:r>
        <w:rPr>
          <w:rFonts w:hint="eastAsia"/>
        </w:rPr>
        <w:t xml:space="preserve">　具体的には、市民の皆さんに提供した行政サービスに要するコストから、資産形成につ</w:t>
      </w:r>
      <w:r>
        <w:rPr>
          <w:rFonts w:hint="eastAsia"/>
        </w:rPr>
        <w:lastRenderedPageBreak/>
        <w:t>ながる支出を除き、減価償却費や退職手当引当金のような現金支出を伴わないコストを加えたものです。なお、総行政コスト（経常費用）から、サービスの受益者が支払った手数料・使用料など（経常収益）を控除した額が、純粋な行政コスト（純経常行政コスト）になります。</w:t>
      </w:r>
    </w:p>
    <w:p w:rsidR="00585E49" w:rsidRDefault="00585E49" w:rsidP="00585E49"/>
    <w:p w:rsidR="00585E49" w:rsidRDefault="00585E49" w:rsidP="00585E49">
      <w:r>
        <w:rPr>
          <w:rFonts w:hint="eastAsia"/>
        </w:rPr>
        <w:t>純資産変動計算書</w:t>
      </w:r>
    </w:p>
    <w:p w:rsidR="00585E49" w:rsidRDefault="00585E49" w:rsidP="00585E49">
      <w:r>
        <w:rPr>
          <w:rFonts w:hint="eastAsia"/>
        </w:rPr>
        <w:t xml:space="preserve"> </w:t>
      </w:r>
      <w:r>
        <w:rPr>
          <w:rFonts w:hint="eastAsia"/>
        </w:rPr>
        <w:t xml:space="preserve">　純資産変動計算書とは、純資産の変動を「どのように財源を調達したか」と「どのように財源を費消したか」という視点から示したものです。</w:t>
      </w:r>
    </w:p>
    <w:p w:rsidR="00585E49" w:rsidRDefault="00585E49" w:rsidP="00585E49">
      <w:r>
        <w:rPr>
          <w:rFonts w:hint="eastAsia"/>
        </w:rPr>
        <w:t xml:space="preserve"> </w:t>
      </w:r>
      <w:r>
        <w:rPr>
          <w:rFonts w:hint="eastAsia"/>
        </w:rPr>
        <w:t xml:space="preserve">　財源の調達については、地方税や交付税、その他補助金などが計上されます。なお、地方債（借入れ）による資金調達については財源に含めません。また、財源の費消については、行政コスト計算書の純行政コストが計上されます。純資産の期末純資産残高が増加していれば、後世に引き継ぐ財産を増やしたことになり、減少していれば、後世に引き継ぐ財産を減らしたことになります。</w:t>
      </w:r>
    </w:p>
    <w:p w:rsidR="00585E49" w:rsidRDefault="00585E49" w:rsidP="00585E49"/>
    <w:p w:rsidR="00585E49" w:rsidRDefault="00585E49" w:rsidP="00585E49">
      <w:r>
        <w:rPr>
          <w:rFonts w:hint="eastAsia"/>
        </w:rPr>
        <w:t>資金収支計算書</w:t>
      </w:r>
    </w:p>
    <w:p w:rsidR="00585E49" w:rsidRDefault="00585E49" w:rsidP="00585E49">
      <w:r>
        <w:rPr>
          <w:rFonts w:hint="eastAsia"/>
        </w:rPr>
        <w:t xml:space="preserve"> </w:t>
      </w:r>
      <w:r>
        <w:rPr>
          <w:rFonts w:hint="eastAsia"/>
        </w:rPr>
        <w:t xml:space="preserve">　資金収支計算書とは、</w:t>
      </w:r>
      <w:r>
        <w:rPr>
          <w:rFonts w:hint="eastAsia"/>
        </w:rPr>
        <w:t>1</w:t>
      </w:r>
      <w:r>
        <w:rPr>
          <w:rFonts w:hint="eastAsia"/>
        </w:rPr>
        <w:t>年間で発生した現金の出入りを「業務活動収支」、「投資活動収支」、「財務活動収支」の</w:t>
      </w:r>
      <w:r>
        <w:rPr>
          <w:rFonts w:hint="eastAsia"/>
        </w:rPr>
        <w:t>3</w:t>
      </w:r>
      <w:r>
        <w:rPr>
          <w:rFonts w:hint="eastAsia"/>
        </w:rPr>
        <w:t>つの性質に区分し、示したものです。</w:t>
      </w:r>
    </w:p>
    <w:p w:rsidR="00585E49" w:rsidRDefault="00585E49" w:rsidP="00585E49">
      <w:r>
        <w:rPr>
          <w:rFonts w:hint="eastAsia"/>
        </w:rPr>
        <w:t xml:space="preserve"> </w:t>
      </w:r>
      <w:r>
        <w:rPr>
          <w:rFonts w:hint="eastAsia"/>
        </w:rPr>
        <w:t xml:space="preserve">　業務活動収支は、経常的な行政活動の収支を示し、投資活動収支は、資産の増減を伴う収支を示しています。また、財務活動収支は、地方債の発行による収入や元金の償還・利払いなど、主に借入れによる資金調達や償還にかかる収支を示しています。</w:t>
      </w:r>
      <w:r>
        <w:rPr>
          <w:rFonts w:hint="eastAsia"/>
        </w:rPr>
        <w:t xml:space="preserve"> </w:t>
      </w:r>
    </w:p>
    <w:p w:rsidR="00E46720" w:rsidRDefault="00585E49">
      <w:r>
        <w:t xml:space="preserve"> </w:t>
      </w:r>
    </w:p>
    <w:sectPr w:rsidR="00E467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49"/>
    <w:rsid w:val="00585E49"/>
    <w:rsid w:val="005E2A57"/>
    <w:rsid w:val="00E46720"/>
    <w:rsid w:val="00F7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7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37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7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3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哲也</dc:creator>
  <cp:lastModifiedBy> </cp:lastModifiedBy>
  <cp:revision>3</cp:revision>
  <cp:lastPrinted>2018-07-02T01:09:00Z</cp:lastPrinted>
  <dcterms:created xsi:type="dcterms:W3CDTF">2018-07-02T00:36:00Z</dcterms:created>
  <dcterms:modified xsi:type="dcterms:W3CDTF">2018-07-02T01:14:00Z</dcterms:modified>
</cp:coreProperties>
</file>